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9062"/>
      </w:tblGrid>
      <w:tr w:rsidR="005F0BCA" w14:paraId="118C8395" w14:textId="77777777" w:rsidTr="005F0BCA">
        <w:trPr>
          <w:trHeight w:val="2254"/>
        </w:trPr>
        <w:tc>
          <w:tcPr>
            <w:tcW w:w="9062" w:type="dxa"/>
          </w:tcPr>
          <w:p w14:paraId="3F80E0D7" w14:textId="77777777" w:rsidR="005F0BCA" w:rsidRDefault="005F0BCA">
            <w:r>
              <w:rPr>
                <w:noProof/>
                <w:lang w:eastAsia="tr-TR"/>
              </w:rPr>
              <w:drawing>
                <wp:anchor distT="0" distB="0" distL="114300" distR="114300" simplePos="0" relativeHeight="251659264" behindDoc="1" locked="0" layoutInCell="1" allowOverlap="1" wp14:anchorId="0FD8708F" wp14:editId="11E627F4">
                  <wp:simplePos x="0" y="0"/>
                  <wp:positionH relativeFrom="column">
                    <wp:posOffset>41910</wp:posOffset>
                  </wp:positionH>
                  <wp:positionV relativeFrom="paragraph">
                    <wp:posOffset>255270</wp:posOffset>
                  </wp:positionV>
                  <wp:extent cx="878205" cy="869950"/>
                  <wp:effectExtent l="0" t="0" r="0" b="6350"/>
                  <wp:wrapNone/>
                  <wp:docPr id="141648470" name="Resim 1" descr="simge, sembol, logo, amblem,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8470" name="Resim 1" descr="simge, sembol, logo, amblem, ticari marka içeren bir resim&#10;&#10;Yapay zeka tarafından oluşturulmuş içerik yanlış olabilir."/>
                          <pic:cNvPicPr/>
                        </pic:nvPicPr>
                        <pic:blipFill rotWithShape="1">
                          <a:blip r:embed="rId4" cstate="print">
                            <a:extLst>
                              <a:ext uri="{28A0092B-C50C-407E-A947-70E740481C1C}">
                                <a14:useLocalDpi xmlns:a14="http://schemas.microsoft.com/office/drawing/2010/main" val="0"/>
                              </a:ext>
                            </a:extLst>
                          </a:blip>
                          <a:srcRect l="23297" t="12437" r="22757" b="12500"/>
                          <a:stretch/>
                        </pic:blipFill>
                        <pic:spPr bwMode="auto">
                          <a:xfrm>
                            <a:off x="0" y="0"/>
                            <a:ext cx="878205" cy="86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p w14:paraId="244A3051" w14:textId="77777777" w:rsidR="005F0BCA" w:rsidRPr="005F0BCA" w:rsidRDefault="005F0BCA" w:rsidP="005F0BCA">
            <w:pPr>
              <w:jc w:val="center"/>
              <w:rPr>
                <w:rFonts w:ascii="Times New Roman" w:hAnsi="Times New Roman" w:cs="Times New Roman"/>
                <w:b/>
                <w:bCs/>
              </w:rPr>
            </w:pPr>
            <w:r w:rsidRPr="005F0BCA">
              <w:rPr>
                <w:rFonts w:ascii="Times New Roman" w:hAnsi="Times New Roman" w:cs="Times New Roman"/>
                <w:b/>
                <w:bCs/>
              </w:rPr>
              <w:t>T.C.</w:t>
            </w:r>
          </w:p>
          <w:p w14:paraId="292AE6E5" w14:textId="77777777" w:rsidR="005F0BCA" w:rsidRPr="005F0BCA" w:rsidRDefault="005F0BCA" w:rsidP="005F0BCA">
            <w:pPr>
              <w:jc w:val="center"/>
              <w:rPr>
                <w:rFonts w:ascii="Times New Roman" w:hAnsi="Times New Roman" w:cs="Times New Roman"/>
                <w:b/>
                <w:bCs/>
              </w:rPr>
            </w:pPr>
            <w:r w:rsidRPr="005F0BCA">
              <w:rPr>
                <w:rFonts w:ascii="Times New Roman" w:hAnsi="Times New Roman" w:cs="Times New Roman"/>
                <w:b/>
                <w:bCs/>
              </w:rPr>
              <w:t xml:space="preserve">                         MALATYA TURGUT ÖZAL ÜNİVERSİTESİ </w:t>
            </w:r>
          </w:p>
          <w:p w14:paraId="5A763959" w14:textId="77777777" w:rsidR="005F0BCA" w:rsidRPr="005F0BCA" w:rsidRDefault="005F0BCA" w:rsidP="005F0BCA">
            <w:pPr>
              <w:jc w:val="center"/>
              <w:rPr>
                <w:rFonts w:ascii="Times New Roman" w:hAnsi="Times New Roman" w:cs="Times New Roman"/>
                <w:b/>
                <w:bCs/>
              </w:rPr>
            </w:pPr>
            <w:r w:rsidRPr="005F0BCA">
              <w:rPr>
                <w:rFonts w:ascii="Times New Roman" w:hAnsi="Times New Roman" w:cs="Times New Roman"/>
                <w:b/>
                <w:bCs/>
              </w:rPr>
              <w:t xml:space="preserve">MATUKAM </w:t>
            </w:r>
          </w:p>
          <w:p w14:paraId="44F77526" w14:textId="77777777" w:rsidR="005F0BCA" w:rsidRDefault="005F0BCA" w:rsidP="005F0BCA">
            <w:pPr>
              <w:jc w:val="center"/>
              <w:rPr>
                <w:rFonts w:ascii="Times New Roman" w:hAnsi="Times New Roman" w:cs="Times New Roman"/>
                <w:b/>
                <w:bCs/>
              </w:rPr>
            </w:pPr>
            <w:r w:rsidRPr="005F0BCA">
              <w:rPr>
                <w:rFonts w:ascii="Times New Roman" w:hAnsi="Times New Roman" w:cs="Times New Roman"/>
                <w:b/>
                <w:bCs/>
              </w:rPr>
              <w:t>Yönetim Kurulu Kararı</w:t>
            </w:r>
          </w:p>
          <w:p w14:paraId="5452660F" w14:textId="77777777" w:rsidR="005F0BCA" w:rsidRDefault="005F0BCA" w:rsidP="005F0BCA">
            <w:pPr>
              <w:jc w:val="center"/>
              <w:rPr>
                <w:b/>
                <w:bCs/>
              </w:rPr>
            </w:pPr>
          </w:p>
          <w:p w14:paraId="554F2541" w14:textId="77777777" w:rsidR="005F0BCA" w:rsidRDefault="005F0BCA" w:rsidP="005F0BCA">
            <w:pPr>
              <w:jc w:val="both"/>
              <w:rPr>
                <w:b/>
                <w:bCs/>
              </w:rPr>
            </w:pPr>
          </w:p>
          <w:tbl>
            <w:tblPr>
              <w:tblStyle w:val="TabloKlavuzu"/>
              <w:tblW w:w="0" w:type="auto"/>
              <w:tblInd w:w="295" w:type="dxa"/>
              <w:tblLook w:val="04A0" w:firstRow="1" w:lastRow="0" w:firstColumn="1" w:lastColumn="0" w:noHBand="0" w:noVBand="1"/>
            </w:tblPr>
            <w:tblGrid>
              <w:gridCol w:w="4423"/>
              <w:gridCol w:w="3828"/>
            </w:tblGrid>
            <w:tr w:rsidR="004235EF" w14:paraId="42C6E495" w14:textId="77777777" w:rsidTr="004235EF">
              <w:tc>
                <w:tcPr>
                  <w:tcW w:w="4423" w:type="dxa"/>
                </w:tcPr>
                <w:p w14:paraId="28E8A8BF" w14:textId="75617364" w:rsidR="004235EF" w:rsidRPr="005F0BCA" w:rsidRDefault="004235EF" w:rsidP="005F0BCA">
                  <w:pPr>
                    <w:jc w:val="center"/>
                    <w:rPr>
                      <w:rFonts w:ascii="Times New Roman" w:hAnsi="Times New Roman" w:cs="Times New Roman"/>
                      <w:b/>
                      <w:bCs/>
                    </w:rPr>
                  </w:pPr>
                  <w:r w:rsidRPr="005F0BCA">
                    <w:rPr>
                      <w:rFonts w:ascii="Times New Roman" w:hAnsi="Times New Roman" w:cs="Times New Roman"/>
                      <w:b/>
                      <w:bCs/>
                    </w:rPr>
                    <w:t>Oturum Tarihi</w:t>
                  </w:r>
                </w:p>
              </w:tc>
              <w:tc>
                <w:tcPr>
                  <w:tcW w:w="3828" w:type="dxa"/>
                </w:tcPr>
                <w:p w14:paraId="009E7577" w14:textId="2FD0CA57" w:rsidR="004235EF" w:rsidRPr="005F0BCA" w:rsidRDefault="004235EF" w:rsidP="005F0BCA">
                  <w:pPr>
                    <w:jc w:val="center"/>
                    <w:rPr>
                      <w:rFonts w:ascii="Times New Roman" w:hAnsi="Times New Roman" w:cs="Times New Roman"/>
                      <w:b/>
                      <w:bCs/>
                    </w:rPr>
                  </w:pPr>
                  <w:r w:rsidRPr="005F0BCA">
                    <w:rPr>
                      <w:rFonts w:ascii="Times New Roman" w:hAnsi="Times New Roman" w:cs="Times New Roman"/>
                      <w:b/>
                      <w:bCs/>
                    </w:rPr>
                    <w:t>Oturum Sayısı</w:t>
                  </w:r>
                </w:p>
              </w:tc>
            </w:tr>
            <w:tr w:rsidR="004235EF" w14:paraId="01A7E16C" w14:textId="77777777" w:rsidTr="004235EF">
              <w:tc>
                <w:tcPr>
                  <w:tcW w:w="4423" w:type="dxa"/>
                </w:tcPr>
                <w:p w14:paraId="2E11C7C8" w14:textId="49C2BA96" w:rsidR="004235EF" w:rsidRPr="004235EF" w:rsidRDefault="004235EF" w:rsidP="004235EF">
                  <w:pPr>
                    <w:jc w:val="center"/>
                    <w:rPr>
                      <w:rFonts w:ascii="Times New Roman" w:hAnsi="Times New Roman" w:cs="Times New Roman"/>
                      <w:b/>
                      <w:bCs/>
                    </w:rPr>
                  </w:pPr>
                  <w:r w:rsidRPr="004235EF">
                    <w:rPr>
                      <w:rFonts w:ascii="Times New Roman" w:hAnsi="Times New Roman" w:cs="Times New Roman"/>
                      <w:b/>
                      <w:bCs/>
                    </w:rPr>
                    <w:t>31.07.2025</w:t>
                  </w:r>
                </w:p>
              </w:tc>
              <w:tc>
                <w:tcPr>
                  <w:tcW w:w="3828" w:type="dxa"/>
                </w:tcPr>
                <w:p w14:paraId="7B29FEC5" w14:textId="39EDDF46" w:rsidR="004235EF" w:rsidRPr="007D1396" w:rsidRDefault="004235EF" w:rsidP="007D1396">
                  <w:pPr>
                    <w:jc w:val="center"/>
                    <w:rPr>
                      <w:rFonts w:ascii="Times New Roman" w:hAnsi="Times New Roman" w:cs="Times New Roman"/>
                      <w:b/>
                      <w:bCs/>
                    </w:rPr>
                  </w:pPr>
                  <w:r w:rsidRPr="007D1396">
                    <w:rPr>
                      <w:rFonts w:ascii="Times New Roman" w:hAnsi="Times New Roman" w:cs="Times New Roman"/>
                      <w:b/>
                      <w:bCs/>
                    </w:rPr>
                    <w:t>2025-1</w:t>
                  </w:r>
                </w:p>
              </w:tc>
            </w:tr>
          </w:tbl>
          <w:p w14:paraId="5336EE38" w14:textId="77777777" w:rsidR="005F0BCA" w:rsidRDefault="005F0BCA" w:rsidP="005F0BCA">
            <w:pPr>
              <w:jc w:val="both"/>
              <w:rPr>
                <w:b/>
                <w:bCs/>
              </w:rPr>
            </w:pPr>
          </w:p>
          <w:p w14:paraId="543FF8A3" w14:textId="77777777" w:rsidR="005F0BCA" w:rsidRDefault="005F0BCA" w:rsidP="005F0BCA">
            <w:pPr>
              <w:jc w:val="center"/>
              <w:rPr>
                <w:b/>
                <w:bCs/>
              </w:rPr>
            </w:pPr>
          </w:p>
          <w:p w14:paraId="67223D04" w14:textId="77777777" w:rsidR="005F0BCA" w:rsidRDefault="005F0BCA" w:rsidP="005F0BCA">
            <w:pPr>
              <w:jc w:val="center"/>
              <w:rPr>
                <w:b/>
                <w:bCs/>
              </w:rPr>
            </w:pPr>
          </w:p>
          <w:p w14:paraId="35C90EF3" w14:textId="6EB76E96" w:rsidR="005F0BCA" w:rsidRPr="005F0BCA" w:rsidRDefault="005F0BCA" w:rsidP="005F0BCA">
            <w:pPr>
              <w:jc w:val="both"/>
              <w:rPr>
                <w:rFonts w:ascii="Times New Roman" w:hAnsi="Times New Roman" w:cs="Times New Roman"/>
              </w:rPr>
            </w:pPr>
            <w:r w:rsidRPr="005F0BCA">
              <w:rPr>
                <w:rFonts w:ascii="Times New Roman" w:hAnsi="Times New Roman" w:cs="Times New Roman"/>
              </w:rPr>
              <w:t xml:space="preserve">Kadın ve Aile Çalışmaları Uygulama ve Araştırma Merkezi Yönetim Kurulumuz, 2025-2026 dönemi faaliyetlerini planlayıp görüşmek üzere </w:t>
            </w:r>
            <w:r w:rsidR="004235EF" w:rsidRPr="004235EF">
              <w:rPr>
                <w:rFonts w:ascii="Times New Roman" w:hAnsi="Times New Roman" w:cs="Times New Roman"/>
              </w:rPr>
              <w:t>31.07.2025</w:t>
            </w:r>
            <w:r w:rsidR="004235EF">
              <w:rPr>
                <w:rFonts w:ascii="Times New Roman" w:hAnsi="Times New Roman" w:cs="Times New Roman"/>
                <w:b/>
                <w:bCs/>
              </w:rPr>
              <w:t xml:space="preserve"> </w:t>
            </w:r>
            <w:r w:rsidR="000E5678">
              <w:rPr>
                <w:rFonts w:ascii="Times New Roman" w:hAnsi="Times New Roman" w:cs="Times New Roman"/>
              </w:rPr>
              <w:t>tarihinde **********</w:t>
            </w:r>
            <w:bookmarkStart w:id="0" w:name="_GoBack"/>
            <w:bookmarkEnd w:id="0"/>
            <w:r w:rsidRPr="005F0BCA">
              <w:rPr>
                <w:rFonts w:ascii="Times New Roman" w:hAnsi="Times New Roman" w:cs="Times New Roman"/>
              </w:rPr>
              <w:t xml:space="preserve"> başkanlığında toplanmıştır.</w:t>
            </w:r>
          </w:p>
          <w:p w14:paraId="652D6601" w14:textId="77777777" w:rsidR="005F0BCA" w:rsidRDefault="005F0BCA" w:rsidP="004235EF">
            <w:pPr>
              <w:jc w:val="both"/>
              <w:rPr>
                <w:b/>
                <w:bCs/>
              </w:rPr>
            </w:pPr>
          </w:p>
          <w:p w14:paraId="63E6CF6D" w14:textId="1D99EB0C" w:rsidR="004235EF" w:rsidRDefault="004235EF" w:rsidP="004235EF">
            <w:pPr>
              <w:jc w:val="both"/>
              <w:rPr>
                <w:rFonts w:ascii="Times New Roman" w:hAnsi="Times New Roman" w:cs="Times New Roman"/>
              </w:rPr>
            </w:pPr>
            <w:r w:rsidRPr="004235EF">
              <w:rPr>
                <w:rFonts w:ascii="Times New Roman" w:hAnsi="Times New Roman" w:cs="Times New Roman"/>
              </w:rPr>
              <w:t>Toplantıda alınan kararlar tabloda sunulmuştur.</w:t>
            </w:r>
          </w:p>
          <w:p w14:paraId="3EED4EB7" w14:textId="77777777" w:rsidR="004235EF" w:rsidRDefault="004235EF" w:rsidP="004235EF">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454"/>
              <w:gridCol w:w="8382"/>
            </w:tblGrid>
            <w:tr w:rsidR="004235EF" w14:paraId="165C6F6F" w14:textId="77777777" w:rsidTr="004235EF">
              <w:tc>
                <w:tcPr>
                  <w:tcW w:w="454" w:type="dxa"/>
                </w:tcPr>
                <w:p w14:paraId="4A71D7C1" w14:textId="41092191" w:rsidR="004235EF" w:rsidRDefault="004235EF" w:rsidP="004235EF">
                  <w:pPr>
                    <w:jc w:val="both"/>
                    <w:rPr>
                      <w:rFonts w:ascii="Times New Roman" w:hAnsi="Times New Roman" w:cs="Times New Roman"/>
                    </w:rPr>
                  </w:pPr>
                  <w:r>
                    <w:rPr>
                      <w:rFonts w:ascii="Times New Roman" w:hAnsi="Times New Roman" w:cs="Times New Roman"/>
                    </w:rPr>
                    <w:t>1</w:t>
                  </w:r>
                </w:p>
              </w:tc>
              <w:tc>
                <w:tcPr>
                  <w:tcW w:w="8382" w:type="dxa"/>
                </w:tcPr>
                <w:p w14:paraId="0C6EEBE5" w14:textId="4293DC49" w:rsidR="002E7C06" w:rsidRPr="006875CA" w:rsidRDefault="004235EF" w:rsidP="004235EF">
                  <w:pPr>
                    <w:jc w:val="both"/>
                    <w:rPr>
                      <w:rFonts w:ascii="Times New Roman" w:hAnsi="Times New Roman" w:cs="Times New Roman"/>
                    </w:rPr>
                  </w:pPr>
                  <w:r w:rsidRPr="006875CA">
                    <w:rPr>
                      <w:rFonts w:ascii="Times New Roman" w:hAnsi="Times New Roman" w:cs="Times New Roman"/>
                    </w:rPr>
                    <w:t xml:space="preserve"> </w:t>
                  </w:r>
                  <w:r w:rsidR="002E7C06" w:rsidRPr="006875CA">
                    <w:rPr>
                      <w:rFonts w:ascii="Times New Roman" w:hAnsi="Times New Roman" w:cs="Times New Roman"/>
                    </w:rPr>
                    <w:t>Yönetim Kurulu, merkezin yıllık faaliyet planının hazırlanmasına ve 2025–2026 dönemi programının oluşturulmasına oy birliği ile karar vermiştir. Faaliyet programında eğitim, seminer, atölye ve farkındalık çalışmaları gibi etkinliklerin öncelikli olarak yer alması kararlaştırılmıştır.</w:t>
                  </w:r>
                </w:p>
              </w:tc>
            </w:tr>
            <w:tr w:rsidR="004235EF" w14:paraId="2396F5ED" w14:textId="77777777" w:rsidTr="004235EF">
              <w:tc>
                <w:tcPr>
                  <w:tcW w:w="454" w:type="dxa"/>
                </w:tcPr>
                <w:p w14:paraId="732BB47C" w14:textId="4724BE2C" w:rsidR="004235EF" w:rsidRDefault="004235EF" w:rsidP="004235EF">
                  <w:pPr>
                    <w:jc w:val="both"/>
                    <w:rPr>
                      <w:rFonts w:ascii="Times New Roman" w:hAnsi="Times New Roman" w:cs="Times New Roman"/>
                    </w:rPr>
                  </w:pPr>
                  <w:r>
                    <w:rPr>
                      <w:rFonts w:ascii="Times New Roman" w:hAnsi="Times New Roman" w:cs="Times New Roman"/>
                    </w:rPr>
                    <w:t>2</w:t>
                  </w:r>
                </w:p>
              </w:tc>
              <w:tc>
                <w:tcPr>
                  <w:tcW w:w="8382" w:type="dxa"/>
                </w:tcPr>
                <w:p w14:paraId="6EB7FDF8" w14:textId="47E8809D" w:rsidR="002E7C06" w:rsidRPr="006875CA" w:rsidRDefault="002E7C06" w:rsidP="004235EF">
                  <w:pPr>
                    <w:jc w:val="both"/>
                    <w:rPr>
                      <w:rFonts w:ascii="Times New Roman" w:hAnsi="Times New Roman" w:cs="Times New Roman"/>
                    </w:rPr>
                  </w:pPr>
                  <w:r w:rsidRPr="006875CA">
                    <w:rPr>
                      <w:rFonts w:ascii="Times New Roman" w:hAnsi="Times New Roman" w:cs="Times New Roman"/>
                    </w:rPr>
                    <w:t xml:space="preserve">Kadın Destek Uygulaması (KADES) kapsamında kadınlara yönelik bilinçlendirme ve güvenlik eğitimlerinin verilmesine </w:t>
                  </w:r>
                  <w:r w:rsidR="007216EC">
                    <w:rPr>
                      <w:rFonts w:ascii="Times New Roman" w:hAnsi="Times New Roman" w:cs="Times New Roman"/>
                    </w:rPr>
                    <w:t xml:space="preserve">oy birliği ile </w:t>
                  </w:r>
                  <w:r w:rsidRPr="006875CA">
                    <w:rPr>
                      <w:rFonts w:ascii="Times New Roman" w:hAnsi="Times New Roman" w:cs="Times New Roman"/>
                    </w:rPr>
                    <w:t>karar verilmiştir. Eğitimlerin planlanması ve uygulamaya alınması için ilgili birimlerle koordinasyon sağlanacaktır.</w:t>
                  </w:r>
                </w:p>
              </w:tc>
            </w:tr>
            <w:tr w:rsidR="004235EF" w14:paraId="684396A3" w14:textId="77777777" w:rsidTr="004235EF">
              <w:tc>
                <w:tcPr>
                  <w:tcW w:w="454" w:type="dxa"/>
                </w:tcPr>
                <w:p w14:paraId="71654F0D" w14:textId="5913DC62" w:rsidR="004235EF" w:rsidRDefault="004235EF" w:rsidP="004235EF">
                  <w:pPr>
                    <w:jc w:val="both"/>
                    <w:rPr>
                      <w:rFonts w:ascii="Times New Roman" w:hAnsi="Times New Roman" w:cs="Times New Roman"/>
                    </w:rPr>
                  </w:pPr>
                  <w:r>
                    <w:rPr>
                      <w:rFonts w:ascii="Times New Roman" w:hAnsi="Times New Roman" w:cs="Times New Roman"/>
                    </w:rPr>
                    <w:t>3</w:t>
                  </w:r>
                </w:p>
              </w:tc>
              <w:tc>
                <w:tcPr>
                  <w:tcW w:w="8382" w:type="dxa"/>
                </w:tcPr>
                <w:p w14:paraId="4750ADDC" w14:textId="3D9AE811" w:rsidR="002E7C06" w:rsidRPr="006875CA" w:rsidRDefault="002E7C06" w:rsidP="004235EF">
                  <w:pPr>
                    <w:jc w:val="both"/>
                    <w:rPr>
                      <w:rFonts w:ascii="Times New Roman" w:hAnsi="Times New Roman" w:cs="Times New Roman"/>
                    </w:rPr>
                  </w:pPr>
                  <w:r w:rsidRPr="006875CA">
                    <w:rPr>
                      <w:rFonts w:ascii="Times New Roman" w:hAnsi="Times New Roman" w:cs="Times New Roman"/>
                    </w:rPr>
                    <w:t xml:space="preserve">8 Mart Dünya Kadınlar Günü kapsamında seminer ve </w:t>
                  </w:r>
                  <w:proofErr w:type="gramStart"/>
                  <w:r w:rsidRPr="006875CA">
                    <w:rPr>
                      <w:rFonts w:ascii="Times New Roman" w:hAnsi="Times New Roman" w:cs="Times New Roman"/>
                    </w:rPr>
                    <w:t>workshop</w:t>
                  </w:r>
                  <w:proofErr w:type="gramEnd"/>
                  <w:r w:rsidRPr="006875CA">
                    <w:rPr>
                      <w:rFonts w:ascii="Times New Roman" w:hAnsi="Times New Roman" w:cs="Times New Roman"/>
                    </w:rPr>
                    <w:t xml:space="preserve"> düzenlenmesine </w:t>
                  </w:r>
                  <w:r w:rsidR="007216EC">
                    <w:rPr>
                      <w:rFonts w:ascii="Times New Roman" w:hAnsi="Times New Roman" w:cs="Times New Roman"/>
                    </w:rPr>
                    <w:t xml:space="preserve">oy birliği ile </w:t>
                  </w:r>
                  <w:r w:rsidRPr="006875CA">
                    <w:rPr>
                      <w:rFonts w:ascii="Times New Roman" w:hAnsi="Times New Roman" w:cs="Times New Roman"/>
                    </w:rPr>
                    <w:t>karar verilmiştir. Etkinliklerin içeriğinde kadın hakları, toplumsal cinsiyet eşitliği ve kadına yönelik şiddetle mücadele konularına odaklanılması öngörülmüştür.</w:t>
                  </w:r>
                </w:p>
                <w:p w14:paraId="56968A46" w14:textId="0C554206" w:rsidR="002E7C06" w:rsidRPr="006875CA" w:rsidRDefault="002E7C06" w:rsidP="004235EF">
                  <w:pPr>
                    <w:jc w:val="both"/>
                    <w:rPr>
                      <w:rFonts w:ascii="Times New Roman" w:hAnsi="Times New Roman" w:cs="Times New Roman"/>
                    </w:rPr>
                  </w:pPr>
                </w:p>
              </w:tc>
            </w:tr>
            <w:tr w:rsidR="004235EF" w14:paraId="52F6516E" w14:textId="77777777" w:rsidTr="004235EF">
              <w:tc>
                <w:tcPr>
                  <w:tcW w:w="454" w:type="dxa"/>
                </w:tcPr>
                <w:p w14:paraId="03F6EB0C" w14:textId="67A51F71" w:rsidR="004235EF" w:rsidRDefault="004235EF" w:rsidP="004235EF">
                  <w:pPr>
                    <w:jc w:val="both"/>
                    <w:rPr>
                      <w:rFonts w:ascii="Times New Roman" w:hAnsi="Times New Roman" w:cs="Times New Roman"/>
                    </w:rPr>
                  </w:pPr>
                  <w:r>
                    <w:rPr>
                      <w:rFonts w:ascii="Times New Roman" w:hAnsi="Times New Roman" w:cs="Times New Roman"/>
                    </w:rPr>
                    <w:t>4</w:t>
                  </w:r>
                </w:p>
              </w:tc>
              <w:tc>
                <w:tcPr>
                  <w:tcW w:w="8382" w:type="dxa"/>
                </w:tcPr>
                <w:p w14:paraId="32A3DA31" w14:textId="0DFC3242" w:rsidR="002E7C06" w:rsidRPr="006875CA" w:rsidRDefault="002E7C06" w:rsidP="004235EF">
                  <w:pPr>
                    <w:jc w:val="both"/>
                    <w:rPr>
                      <w:rFonts w:ascii="Times New Roman" w:hAnsi="Times New Roman" w:cs="Times New Roman"/>
                    </w:rPr>
                  </w:pPr>
                  <w:r w:rsidRPr="006875CA">
                    <w:rPr>
                      <w:rFonts w:ascii="Times New Roman" w:hAnsi="Times New Roman" w:cs="Times New Roman"/>
                    </w:rPr>
                    <w:t xml:space="preserve">Kadınların korunması ve şiddet vakalarının önlenmesine yönelik farkındalık eğitimlerinin yürütülmesine </w:t>
                  </w:r>
                  <w:r w:rsidR="007216EC">
                    <w:rPr>
                      <w:rFonts w:ascii="Times New Roman" w:hAnsi="Times New Roman" w:cs="Times New Roman"/>
                    </w:rPr>
                    <w:t xml:space="preserve">oy birliği ile </w:t>
                  </w:r>
                  <w:r w:rsidRPr="006875CA">
                    <w:rPr>
                      <w:rFonts w:ascii="Times New Roman" w:hAnsi="Times New Roman" w:cs="Times New Roman"/>
                    </w:rPr>
                    <w:t>karar verilmiştir. Eğitimlerin düzenli aralıklarla ve farklı katılımcı gruplarına uygulanması planlanmıştır.</w:t>
                  </w:r>
                </w:p>
              </w:tc>
            </w:tr>
          </w:tbl>
          <w:p w14:paraId="3F155253" w14:textId="77777777" w:rsidR="004235EF" w:rsidRPr="004235EF" w:rsidRDefault="004235EF" w:rsidP="004235EF">
            <w:pPr>
              <w:jc w:val="both"/>
              <w:rPr>
                <w:rFonts w:ascii="Times New Roman" w:hAnsi="Times New Roman" w:cs="Times New Roman"/>
              </w:rPr>
            </w:pPr>
          </w:p>
          <w:p w14:paraId="250F6E6C" w14:textId="77777777" w:rsidR="005F0BCA" w:rsidRDefault="005F0BCA" w:rsidP="005F0BCA">
            <w:pPr>
              <w:jc w:val="center"/>
              <w:rPr>
                <w:b/>
                <w:bCs/>
              </w:rPr>
            </w:pPr>
          </w:p>
          <w:p w14:paraId="2B69B68A" w14:textId="3171166E" w:rsidR="005F0BCA" w:rsidRDefault="005F0BCA" w:rsidP="005F0BCA">
            <w:pPr>
              <w:jc w:val="center"/>
            </w:pPr>
          </w:p>
        </w:tc>
      </w:tr>
    </w:tbl>
    <w:p w14:paraId="7D4C74AC" w14:textId="708A7AEC" w:rsidR="005116B0" w:rsidRDefault="005116B0"/>
    <w:sectPr w:rsidR="00511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CA"/>
    <w:rsid w:val="000417B7"/>
    <w:rsid w:val="000465BE"/>
    <w:rsid w:val="000B1796"/>
    <w:rsid w:val="000B45F8"/>
    <w:rsid w:val="000B691A"/>
    <w:rsid w:val="000D3E15"/>
    <w:rsid w:val="000E417A"/>
    <w:rsid w:val="000E5678"/>
    <w:rsid w:val="00117BD7"/>
    <w:rsid w:val="00125BEF"/>
    <w:rsid w:val="0015359A"/>
    <w:rsid w:val="00161774"/>
    <w:rsid w:val="0017591A"/>
    <w:rsid w:val="00177B44"/>
    <w:rsid w:val="00181934"/>
    <w:rsid w:val="00183356"/>
    <w:rsid w:val="00202881"/>
    <w:rsid w:val="002B753D"/>
    <w:rsid w:val="002E7C06"/>
    <w:rsid w:val="00302096"/>
    <w:rsid w:val="00362727"/>
    <w:rsid w:val="003C167D"/>
    <w:rsid w:val="00416532"/>
    <w:rsid w:val="004235EF"/>
    <w:rsid w:val="004245FE"/>
    <w:rsid w:val="00436FE1"/>
    <w:rsid w:val="004727CE"/>
    <w:rsid w:val="004A3B9E"/>
    <w:rsid w:val="004E785A"/>
    <w:rsid w:val="004F3230"/>
    <w:rsid w:val="005116B0"/>
    <w:rsid w:val="00520158"/>
    <w:rsid w:val="00591DC7"/>
    <w:rsid w:val="005F0BCA"/>
    <w:rsid w:val="005F3B31"/>
    <w:rsid w:val="00687030"/>
    <w:rsid w:val="006875CA"/>
    <w:rsid w:val="006A2CEF"/>
    <w:rsid w:val="007048C6"/>
    <w:rsid w:val="007216EC"/>
    <w:rsid w:val="00735EEB"/>
    <w:rsid w:val="00745AFB"/>
    <w:rsid w:val="00763D2D"/>
    <w:rsid w:val="00790F64"/>
    <w:rsid w:val="007D0096"/>
    <w:rsid w:val="007D1396"/>
    <w:rsid w:val="00821855"/>
    <w:rsid w:val="0084559F"/>
    <w:rsid w:val="0085746D"/>
    <w:rsid w:val="00887EE4"/>
    <w:rsid w:val="008B6C1E"/>
    <w:rsid w:val="00965C59"/>
    <w:rsid w:val="009D1F02"/>
    <w:rsid w:val="00A70BEA"/>
    <w:rsid w:val="00A871D0"/>
    <w:rsid w:val="00A94AF8"/>
    <w:rsid w:val="00AA264C"/>
    <w:rsid w:val="00AD27F3"/>
    <w:rsid w:val="00B220E6"/>
    <w:rsid w:val="00B45892"/>
    <w:rsid w:val="00B93EE2"/>
    <w:rsid w:val="00B968A9"/>
    <w:rsid w:val="00BE6F87"/>
    <w:rsid w:val="00C003CB"/>
    <w:rsid w:val="00C05949"/>
    <w:rsid w:val="00C254BF"/>
    <w:rsid w:val="00CE2B5B"/>
    <w:rsid w:val="00CF34BF"/>
    <w:rsid w:val="00D41FD7"/>
    <w:rsid w:val="00D70A5E"/>
    <w:rsid w:val="00D70EC8"/>
    <w:rsid w:val="00D941AB"/>
    <w:rsid w:val="00DA7428"/>
    <w:rsid w:val="00DC2C56"/>
    <w:rsid w:val="00E01EF5"/>
    <w:rsid w:val="00E055E9"/>
    <w:rsid w:val="00E24213"/>
    <w:rsid w:val="00E27887"/>
    <w:rsid w:val="00E43A36"/>
    <w:rsid w:val="00E736D8"/>
    <w:rsid w:val="00EB40A7"/>
    <w:rsid w:val="00F012B3"/>
    <w:rsid w:val="00F361B6"/>
    <w:rsid w:val="00F93F7D"/>
    <w:rsid w:val="00FA0559"/>
    <w:rsid w:val="00FE0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1109"/>
  <w15:chartTrackingRefBased/>
  <w15:docId w15:val="{97B735BD-9FF4-4159-B59A-30E23CD1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F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F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F0BC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F0BC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F0BC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F0B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0B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0B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0B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0BC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F0BC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F0BC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F0BC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F0BC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F0B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0B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0B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0BCA"/>
    <w:rPr>
      <w:rFonts w:eastAsiaTheme="majorEastAsia" w:cstheme="majorBidi"/>
      <w:color w:val="272727" w:themeColor="text1" w:themeTint="D8"/>
    </w:rPr>
  </w:style>
  <w:style w:type="paragraph" w:styleId="KonuBal">
    <w:name w:val="Title"/>
    <w:basedOn w:val="Normal"/>
    <w:next w:val="Normal"/>
    <w:link w:val="KonuBalChar"/>
    <w:uiPriority w:val="10"/>
    <w:qFormat/>
    <w:rsid w:val="005F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0B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0B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0B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0B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0BCA"/>
    <w:rPr>
      <w:i/>
      <w:iCs/>
      <w:color w:val="404040" w:themeColor="text1" w:themeTint="BF"/>
    </w:rPr>
  </w:style>
  <w:style w:type="paragraph" w:styleId="ListeParagraf">
    <w:name w:val="List Paragraph"/>
    <w:basedOn w:val="Normal"/>
    <w:uiPriority w:val="34"/>
    <w:qFormat/>
    <w:rsid w:val="005F0BCA"/>
    <w:pPr>
      <w:ind w:left="720"/>
      <w:contextualSpacing/>
    </w:pPr>
  </w:style>
  <w:style w:type="character" w:styleId="GlVurgulama">
    <w:name w:val="Intense Emphasis"/>
    <w:basedOn w:val="VarsaylanParagrafYazTipi"/>
    <w:uiPriority w:val="21"/>
    <w:qFormat/>
    <w:rsid w:val="005F0BCA"/>
    <w:rPr>
      <w:i/>
      <w:iCs/>
      <w:color w:val="0F4761" w:themeColor="accent1" w:themeShade="BF"/>
    </w:rPr>
  </w:style>
  <w:style w:type="paragraph" w:styleId="GlAlnt">
    <w:name w:val="Intense Quote"/>
    <w:basedOn w:val="Normal"/>
    <w:next w:val="Normal"/>
    <w:link w:val="GlAlntChar"/>
    <w:uiPriority w:val="30"/>
    <w:qFormat/>
    <w:rsid w:val="005F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F0BCA"/>
    <w:rPr>
      <w:i/>
      <w:iCs/>
      <w:color w:val="0F4761" w:themeColor="accent1" w:themeShade="BF"/>
    </w:rPr>
  </w:style>
  <w:style w:type="character" w:styleId="GlBavuru">
    <w:name w:val="Intense Reference"/>
    <w:basedOn w:val="VarsaylanParagrafYazTipi"/>
    <w:uiPriority w:val="32"/>
    <w:qFormat/>
    <w:rsid w:val="005F0BCA"/>
    <w:rPr>
      <w:b/>
      <w:bCs/>
      <w:smallCaps/>
      <w:color w:val="0F4761" w:themeColor="accent1" w:themeShade="BF"/>
      <w:spacing w:val="5"/>
    </w:rPr>
  </w:style>
  <w:style w:type="table" w:styleId="TabloKlavuzu">
    <w:name w:val="Table Grid"/>
    <w:basedOn w:val="NormalTablo"/>
    <w:uiPriority w:val="39"/>
    <w:rsid w:val="005F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221</Words>
  <Characters>1264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Microsoft hesabı</cp:lastModifiedBy>
  <cp:revision>6</cp:revision>
  <dcterms:created xsi:type="dcterms:W3CDTF">2025-10-21T10:06:00Z</dcterms:created>
  <dcterms:modified xsi:type="dcterms:W3CDTF">2025-10-21T10:41:00Z</dcterms:modified>
</cp:coreProperties>
</file>